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Theme="minorEastAsia" w:hAnsiTheme="minorEastAsia" w:eastAsiaTheme="minorEastAsia"/>
          <w:b/>
          <w:snapToGrid w:val="0"/>
          <w:color w:val="auto"/>
          <w:kern w:val="0"/>
          <w:sz w:val="36"/>
          <w:szCs w:val="36"/>
          <w:lang w:val="zh-CN"/>
        </w:rPr>
      </w:pPr>
      <w:bookmarkStart w:id="0" w:name="_GoBack"/>
      <w:r>
        <w:rPr>
          <w:rFonts w:hint="eastAsia" w:cs="黑体" w:asciiTheme="minorEastAsia" w:hAnsiTheme="minorEastAsia" w:eastAsiaTheme="minorEastAsia"/>
          <w:b/>
          <w:bCs/>
          <w:snapToGrid w:val="0"/>
          <w:color w:val="auto"/>
          <w:kern w:val="0"/>
          <w:sz w:val="36"/>
          <w:szCs w:val="36"/>
          <w:lang w:val="zh-CN"/>
        </w:rPr>
        <w:t>《</w:t>
      </w: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36"/>
          <w:szCs w:val="36"/>
          <w:lang w:val="zh-CN"/>
        </w:rPr>
        <w:t>××××</w:t>
      </w:r>
      <w:r>
        <w:rPr>
          <w:rFonts w:hint="eastAsia" w:cs="黑体" w:asciiTheme="minorEastAsia" w:hAnsiTheme="minorEastAsia" w:eastAsiaTheme="minorEastAsia"/>
          <w:b/>
          <w:bCs/>
          <w:snapToGrid w:val="0"/>
          <w:color w:val="auto"/>
          <w:kern w:val="0"/>
          <w:sz w:val="36"/>
          <w:szCs w:val="36"/>
          <w:lang w:val="zh-CN"/>
        </w:rPr>
        <w:t>》课程教学大纲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一、课程基本信息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课程类别：（通识必修课、通识选修课、专业基础课、专业课等）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学时/学分：××/××（含实践、实验、上机等学时数）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开课单位：××学院××系（部）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开课对象：××专业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先修课程/后修课程：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二、教材及参考资料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选定教材：（1-2本）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《×××》（教材名），×××（编著者）.×××（出版地）：×××出版社，××××（出版年份）等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参考书：（2-3本）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《×××》（参考书名），×××（编著者）.×××（出版地）：×××出版社，××××（出版年份）等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  <w:sz w:val="24"/>
          <w:lang w:val="zh-CN"/>
        </w:rPr>
        <w:t>三、课程性质和任务</w:t>
      </w:r>
      <w:r>
        <w:rPr>
          <w:rFonts w:hint="eastAsia" w:asciiTheme="minorEastAsia" w:hAnsiTheme="minorEastAsia" w:eastAsiaTheme="minorEastAsia"/>
          <w:color w:val="auto"/>
        </w:rPr>
        <w:t>（明确课程在相关专业教学计划中的地位和作用，与其它相关课程的关系，主要教学任务等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auto"/>
        </w:rPr>
        <w:t>)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color w:val="auto"/>
          <w:kern w:val="0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四、学习目标及对毕业要求指标点的支撑</w:t>
      </w:r>
    </w:p>
    <w:tbl>
      <w:tblPr>
        <w:tblStyle w:val="7"/>
        <w:tblW w:w="8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739"/>
        <w:gridCol w:w="4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373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对应毕业要求指标点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1</w:t>
            </w:r>
          </w:p>
        </w:tc>
        <w:tc>
          <w:tcPr>
            <w:tcW w:w="3739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目标1：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依次列出具体毕业要求指标点内容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3739" w:type="dxa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目标2：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</w:p>
        </w:tc>
        <w:tc>
          <w:tcPr>
            <w:tcW w:w="3739" w:type="dxa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</w:t>
            </w:r>
            <w:r>
              <w:rPr>
                <w:rFonts w:asciiTheme="minorEastAsia" w:hAnsiTheme="minorEastAsia" w:eastAsiaTheme="minorEastAsia"/>
                <w:color w:val="auto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：</w:t>
            </w: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39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305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/>
          <w:color w:val="auto"/>
        </w:rPr>
        <w:t>注：</w:t>
      </w:r>
      <w:r>
        <w:rPr>
          <w:rFonts w:hint="eastAsia"/>
          <w:color w:val="auto"/>
          <w:lang w:eastAsia="zh-CN"/>
        </w:rPr>
        <w:t>学习</w:t>
      </w:r>
      <w:r>
        <w:rPr>
          <w:rFonts w:hint="eastAsia"/>
          <w:color w:val="auto"/>
        </w:rPr>
        <w:t>目标按了解、理解、掌握、运用等层次，阐明学生通过本课程学习</w:t>
      </w:r>
      <w:r>
        <w:rPr>
          <w:rFonts w:hint="eastAsia"/>
          <w:color w:val="auto"/>
          <w:lang w:eastAsia="zh-CN"/>
        </w:rPr>
        <w:t>应</w:t>
      </w:r>
      <w:r>
        <w:rPr>
          <w:rFonts w:hint="eastAsia"/>
          <w:color w:val="auto"/>
        </w:rPr>
        <w:t>达到的知识、能力、素质的目标要求。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（注意体现课程思政及</w:t>
      </w:r>
      <w:r>
        <w:rPr>
          <w:rFonts w:hint="eastAsia"/>
          <w:color w:val="auto"/>
          <w:lang w:eastAsia="zh-CN"/>
        </w:rPr>
        <w:t>“五会”核心能力素质培养目标要求</w:t>
      </w:r>
      <w:r>
        <w:rPr>
          <w:color w:val="auto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</w:rPr>
        <w:t>“五会”指的是“会思考、会学习、会沟通、会动手、会生活”。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）</w:t>
      </w:r>
    </w:p>
    <w:p>
      <w:pPr>
        <w:spacing w:line="300" w:lineRule="auto"/>
        <w:ind w:firstLine="525" w:firstLineChars="250"/>
        <w:rPr>
          <w:color w:val="auto"/>
        </w:rPr>
      </w:pPr>
    </w:p>
    <w:p>
      <w:pPr>
        <w:spacing w:line="300" w:lineRule="auto"/>
        <w:ind w:firstLine="420" w:firstLineChars="200"/>
        <w:rPr>
          <w:color w:val="auto"/>
        </w:rPr>
      </w:pPr>
    </w:p>
    <w:p>
      <w:pPr>
        <w:adjustRightInd w:val="0"/>
        <w:snapToGrid w:val="0"/>
        <w:spacing w:line="300" w:lineRule="auto"/>
        <w:ind w:firstLine="482" w:firstLineChars="200"/>
        <w:rPr>
          <w:rFonts w:asciiTheme="minorEastAsia" w:hAnsiTheme="minorEastAsia" w:eastAsiaTheme="minorEastAsia"/>
          <w:b/>
          <w:snapToGrid w:val="0"/>
          <w:color w:val="auto"/>
          <w:sz w:val="24"/>
          <w:lang w:val="zh-CN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  <w:sz w:val="24"/>
          <w:lang w:val="zh-CN"/>
        </w:rPr>
        <w:t>五、教学内容及安排</w:t>
      </w:r>
    </w:p>
    <w:tbl>
      <w:tblPr>
        <w:tblStyle w:val="6"/>
        <w:tblW w:w="8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3272"/>
        <w:gridCol w:w="1417"/>
        <w:gridCol w:w="823"/>
        <w:gridCol w:w="1151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327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教学内容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课程教学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重难点</w:t>
            </w:r>
          </w:p>
        </w:tc>
        <w:tc>
          <w:tcPr>
            <w:tcW w:w="82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推荐学时</w:t>
            </w:r>
          </w:p>
        </w:tc>
        <w:tc>
          <w:tcPr>
            <w:tcW w:w="115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教学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asciiTheme="minorEastAsia" w:hAnsiTheme="minorEastAsia" w:eastAsiaTheme="minorEastAsia"/>
                <w:color w:val="auto"/>
              </w:rPr>
              <w:t>方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法手段</w:t>
            </w:r>
          </w:p>
        </w:tc>
        <w:tc>
          <w:tcPr>
            <w:tcW w:w="140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asciiTheme="minorEastAsia" w:hAnsiTheme="minorEastAsia" w:eastAsiaTheme="minorEastAsia"/>
                <w:color w:val="auto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272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82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272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82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272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82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 xml:space="preserve"> 注：①教学内容不得按教材章节填写，“对应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  <w:lang w:eastAsia="zh-CN"/>
        </w:rPr>
        <w:t>学习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目标”可直接填写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  <w:lang w:val="en-US" w:eastAsia="zh-CN"/>
        </w:rPr>
        <w:t>学习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目标序号，也可对应多个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  <w:lang w:eastAsia="zh-CN"/>
        </w:rPr>
        <w:t>学习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目标；②教学方法手段可根据教学内容灵活采取讲授、小组讨论、案例教学、项目教学、翻转教学、情景式教学、线上自学、演讲答辩等形式，以促进目标能力达成；③教学重难点应标出；④课内实验须单独编写实验教学大纲，“教学内容栏”可标注“见本课程实验教学大纲”；⑤课内上机、实践须列入上表；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300" w:lineRule="auto"/>
        <w:ind w:firstLine="42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Cs w:val="21"/>
        </w:rPr>
      </w:pPr>
    </w:p>
    <w:p>
      <w:pPr>
        <w:spacing w:line="300" w:lineRule="auto"/>
        <w:ind w:firstLine="482" w:firstLineChars="200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六、课程考核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1. 考核内容（简要说明本课程为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检验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  <w:lang w:val="en-US" w:eastAsia="zh-CN"/>
        </w:rPr>
        <w:t>学习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目标达成度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评价学生学习成果达成度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应考核的主要内容，考核应包含课内实验、上机、实践）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2. 考核环节及评价标准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asciiTheme="minorEastAsia" w:hAnsiTheme="minorEastAsia" w:eastAsiaTheme="minorEastAsia"/>
          <w:snapToGrid w:val="0"/>
          <w:color w:val="auto"/>
          <w:szCs w:val="20"/>
        </w:rPr>
        <w:t>考核环节包括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过程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考核和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终结性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考核，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其中过程考核（含课内实验、上机、实践）占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%，终结性考核占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%。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总评成绩以百分计，满分100分。各考核环节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建议占比见下表，具体执行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可据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实际进行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微调。</w:t>
      </w:r>
    </w:p>
    <w:tbl>
      <w:tblPr>
        <w:tblStyle w:val="7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24"/>
        <w:gridCol w:w="835"/>
        <w:gridCol w:w="709"/>
        <w:gridCol w:w="453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类型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建议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占比</w:t>
            </w:r>
          </w:p>
        </w:tc>
        <w:tc>
          <w:tcPr>
            <w:tcW w:w="453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考核/评价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标准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过程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</w:t>
            </w:r>
          </w:p>
        </w:tc>
        <w:tc>
          <w:tcPr>
            <w:tcW w:w="72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color w:val="auto"/>
                <w:szCs w:val="21"/>
              </w:rPr>
              <w:t>%</w:t>
            </w:r>
          </w:p>
        </w:tc>
        <w:tc>
          <w:tcPr>
            <w:tcW w:w="83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出勤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color w:val="auto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color w:val="auto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color w:val="auto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snapToGrid w:val="0"/>
                <w:color w:val="auto"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color w:val="auto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auto"/>
                <w:kern w:val="0"/>
                <w:szCs w:val="21"/>
                <w:lang w:val="zh-CN"/>
              </w:rPr>
              <w:t>终结性考核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536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</w:tbl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/>
          <w:color w:val="auto"/>
        </w:rPr>
        <w:t>注：①过程考核</w:t>
      </w:r>
      <w:r>
        <w:rPr>
          <w:color w:val="auto"/>
        </w:rPr>
        <w:t>一般可占总评成绩的40%～60%</w:t>
      </w:r>
      <w:r>
        <w:rPr>
          <w:rFonts w:hint="eastAsia"/>
          <w:color w:val="auto"/>
        </w:rPr>
        <w:t>，参与型在过程考核中的权重占比不得高于30%，课程</w:t>
      </w:r>
      <w:r>
        <w:rPr>
          <w:color w:val="auto"/>
        </w:rPr>
        <w:t>实验</w:t>
      </w:r>
      <w:r>
        <w:rPr>
          <w:rFonts w:hint="eastAsia"/>
          <w:color w:val="auto"/>
        </w:rPr>
        <w:t>（课内）考核</w:t>
      </w:r>
      <w:r>
        <w:rPr>
          <w:color w:val="auto"/>
        </w:rPr>
        <w:t>一般可占</w:t>
      </w:r>
      <w:r>
        <w:rPr>
          <w:rFonts w:hint="eastAsia"/>
          <w:color w:val="auto"/>
        </w:rPr>
        <w:t>课程</w:t>
      </w:r>
      <w:r>
        <w:rPr>
          <w:color w:val="auto"/>
        </w:rPr>
        <w:t>总成绩的10%～20%</w:t>
      </w:r>
      <w:r>
        <w:rPr>
          <w:rFonts w:hint="eastAsia"/>
          <w:color w:val="auto"/>
        </w:rPr>
        <w:t>（</w:t>
      </w:r>
      <w:r>
        <w:rPr>
          <w:color w:val="auto"/>
        </w:rPr>
        <w:t>同一门课程多位教师主讲的由课程负责人统一规定</w:t>
      </w:r>
      <w:r>
        <w:rPr>
          <w:rFonts w:hint="eastAsia"/>
          <w:color w:val="auto"/>
        </w:rPr>
        <w:t>）；②</w:t>
      </w:r>
      <w:r>
        <w:rPr>
          <w:color w:val="auto"/>
        </w:rPr>
        <w:t>可采用“出勤+”形式考核，将学生出勤与小论文、多作业、测练、小组讨论汇报、在线学习、社会调查</w:t>
      </w:r>
      <w:r>
        <w:rPr>
          <w:rFonts w:hint="eastAsia"/>
          <w:color w:val="auto"/>
        </w:rPr>
        <w:t>、</w:t>
      </w:r>
      <w:r>
        <w:rPr>
          <w:color w:val="auto"/>
        </w:rPr>
        <w:t>实验</w:t>
      </w:r>
      <w:r>
        <w:rPr>
          <w:rFonts w:hint="eastAsia"/>
          <w:color w:val="auto"/>
        </w:rPr>
        <w:t>、</w:t>
      </w:r>
      <w:r>
        <w:rPr>
          <w:color w:val="auto"/>
        </w:rPr>
        <w:t>上机、实践等相结合</w:t>
      </w:r>
      <w:r>
        <w:rPr>
          <w:rFonts w:hint="eastAsia"/>
          <w:color w:val="auto"/>
        </w:rPr>
        <w:t>；③“对应</w:t>
      </w:r>
      <w:r>
        <w:rPr>
          <w:rFonts w:hint="eastAsia"/>
          <w:color w:val="auto"/>
          <w:lang w:eastAsia="zh-CN"/>
        </w:rPr>
        <w:t>学习</w:t>
      </w:r>
      <w:r>
        <w:rPr>
          <w:rFonts w:hint="eastAsia"/>
          <w:color w:val="auto"/>
        </w:rPr>
        <w:t>目标”栏可直接填</w:t>
      </w:r>
      <w:r>
        <w:rPr>
          <w:rFonts w:hint="eastAsia"/>
          <w:color w:val="auto"/>
          <w:lang w:eastAsia="zh-CN"/>
        </w:rPr>
        <w:t>学习</w:t>
      </w:r>
      <w:r>
        <w:rPr>
          <w:rFonts w:hint="eastAsia"/>
          <w:color w:val="auto"/>
        </w:rPr>
        <w:t>目标序号，也可对应多个</w:t>
      </w:r>
      <w:r>
        <w:rPr>
          <w:rFonts w:hint="eastAsia"/>
          <w:color w:val="auto"/>
          <w:lang w:eastAsia="zh-CN"/>
        </w:rPr>
        <w:t>学习</w:t>
      </w:r>
      <w:r>
        <w:rPr>
          <w:rFonts w:hint="eastAsia"/>
          <w:color w:val="auto"/>
        </w:rPr>
        <w:t>目标。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spacing w:line="300" w:lineRule="auto"/>
        <w:ind w:firstLine="482" w:firstLineChars="200"/>
        <w:rPr>
          <w:color w:val="auto"/>
        </w:rPr>
      </w:pPr>
      <w:r>
        <w:rPr>
          <w:rFonts w:hint="eastAsia"/>
          <w:b/>
          <w:color w:val="auto"/>
          <w:sz w:val="24"/>
        </w:rPr>
        <w:t>七、课外学习要求</w:t>
      </w:r>
      <w:r>
        <w:rPr>
          <w:rFonts w:hint="eastAsia"/>
          <w:color w:val="auto"/>
        </w:rPr>
        <w:t>（包括课外阅读、调查研究、社会实践、查找文献等任务的说明和要求）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spacing w:line="300" w:lineRule="auto"/>
        <w:ind w:firstLine="482" w:firstLineChars="200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八、审核</w:t>
      </w:r>
    </w:p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/>
          <w:color w:val="auto"/>
        </w:rPr>
        <w:t xml:space="preserve">     执笔人：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 xml:space="preserve">      </w:t>
      </w:r>
      <w:r>
        <w:rPr>
          <w:rFonts w:hint="eastAsia"/>
          <w:color w:val="auto"/>
        </w:rPr>
        <w:t xml:space="preserve">审核人：               </w:t>
      </w:r>
      <w:r>
        <w:rPr>
          <w:color w:val="auto"/>
        </w:rPr>
        <w:t xml:space="preserve">   </w:t>
      </w:r>
      <w:r>
        <w:rPr>
          <w:rFonts w:hint="eastAsia"/>
          <w:color w:val="auto"/>
        </w:rPr>
        <w:t>审定</w:t>
      </w:r>
      <w:r>
        <w:rPr>
          <w:color w:val="auto"/>
        </w:rPr>
        <w:t>人：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</w:rPr>
      </w:pPr>
    </w:p>
    <w:p>
      <w:pPr>
        <w:pStyle w:val="5"/>
        <w:widowControl w:val="0"/>
        <w:adjustRightInd w:val="0"/>
        <w:snapToGrid w:val="0"/>
        <w:spacing w:before="0" w:beforeAutospacing="0" w:after="0" w:afterAutospacing="0" w:line="300" w:lineRule="auto"/>
        <w:ind w:firstLine="602" w:firstLineChars="250"/>
        <w:jc w:val="both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</w:rPr>
        <w:t>提示：版面字体要求如下：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采用A4纸张，标题宋体小2号加粗、居中；小标题宋体小四加粗；正文宋体5号。首行缩进2个汉字符；页边距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zh-CN"/>
        </w:rPr>
        <w:t>左为2.6cm，右为：2.2cm；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 xml:space="preserve">上、下均为2厘米；行距1.25倍，页码居中。封面封底由教务部提供统一版式。 </w:t>
      </w:r>
    </w:p>
    <w:bookmarkEnd w:id="0"/>
    <w:sectPr>
      <w:footerReference r:id="rId3" w:type="default"/>
      <w:pgSz w:w="11906" w:h="16838"/>
      <w:pgMar w:top="1134" w:right="1247" w:bottom="1134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739313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33F1"/>
    <w:rsid w:val="000029D6"/>
    <w:rsid w:val="00015AC1"/>
    <w:rsid w:val="0002006B"/>
    <w:rsid w:val="00020B1C"/>
    <w:rsid w:val="0003271F"/>
    <w:rsid w:val="0003705A"/>
    <w:rsid w:val="000373CF"/>
    <w:rsid w:val="0004648B"/>
    <w:rsid w:val="00052AB5"/>
    <w:rsid w:val="0008518C"/>
    <w:rsid w:val="00087095"/>
    <w:rsid w:val="000943A5"/>
    <w:rsid w:val="00094AAD"/>
    <w:rsid w:val="000C6D8E"/>
    <w:rsid w:val="000E15F5"/>
    <w:rsid w:val="000E737D"/>
    <w:rsid w:val="000F4C8C"/>
    <w:rsid w:val="00103321"/>
    <w:rsid w:val="00104579"/>
    <w:rsid w:val="001067DA"/>
    <w:rsid w:val="00116538"/>
    <w:rsid w:val="00116C7E"/>
    <w:rsid w:val="001317E9"/>
    <w:rsid w:val="00133668"/>
    <w:rsid w:val="001428F0"/>
    <w:rsid w:val="00146E4B"/>
    <w:rsid w:val="00157771"/>
    <w:rsid w:val="00181F20"/>
    <w:rsid w:val="0018326C"/>
    <w:rsid w:val="00183D70"/>
    <w:rsid w:val="0019309B"/>
    <w:rsid w:val="00197B0B"/>
    <w:rsid w:val="001A114F"/>
    <w:rsid w:val="001C129B"/>
    <w:rsid w:val="001E079C"/>
    <w:rsid w:val="001E5514"/>
    <w:rsid w:val="002079B6"/>
    <w:rsid w:val="002146BE"/>
    <w:rsid w:val="00223193"/>
    <w:rsid w:val="00225C5F"/>
    <w:rsid w:val="002320AA"/>
    <w:rsid w:val="0026436E"/>
    <w:rsid w:val="002905CC"/>
    <w:rsid w:val="0029501A"/>
    <w:rsid w:val="00296186"/>
    <w:rsid w:val="002A4529"/>
    <w:rsid w:val="002C5F85"/>
    <w:rsid w:val="002E4EBA"/>
    <w:rsid w:val="002E7C17"/>
    <w:rsid w:val="002F68CC"/>
    <w:rsid w:val="0030122C"/>
    <w:rsid w:val="00313366"/>
    <w:rsid w:val="00322F58"/>
    <w:rsid w:val="00323123"/>
    <w:rsid w:val="00323A84"/>
    <w:rsid w:val="003355E5"/>
    <w:rsid w:val="003401DB"/>
    <w:rsid w:val="00342D78"/>
    <w:rsid w:val="003444CB"/>
    <w:rsid w:val="00345A19"/>
    <w:rsid w:val="003519D7"/>
    <w:rsid w:val="0036493E"/>
    <w:rsid w:val="00375589"/>
    <w:rsid w:val="00377ADD"/>
    <w:rsid w:val="0038012A"/>
    <w:rsid w:val="00384AEB"/>
    <w:rsid w:val="003B14A7"/>
    <w:rsid w:val="003B23B9"/>
    <w:rsid w:val="003B2D70"/>
    <w:rsid w:val="003C4FAF"/>
    <w:rsid w:val="003D48E5"/>
    <w:rsid w:val="003D64CB"/>
    <w:rsid w:val="003D6C40"/>
    <w:rsid w:val="003D72F0"/>
    <w:rsid w:val="003E733F"/>
    <w:rsid w:val="003F33F1"/>
    <w:rsid w:val="003F3CA1"/>
    <w:rsid w:val="003F454B"/>
    <w:rsid w:val="003F560E"/>
    <w:rsid w:val="00402D57"/>
    <w:rsid w:val="00405A1C"/>
    <w:rsid w:val="00412839"/>
    <w:rsid w:val="00413B14"/>
    <w:rsid w:val="00413C44"/>
    <w:rsid w:val="0041567E"/>
    <w:rsid w:val="00415921"/>
    <w:rsid w:val="0044152E"/>
    <w:rsid w:val="00453C80"/>
    <w:rsid w:val="00455914"/>
    <w:rsid w:val="0047170D"/>
    <w:rsid w:val="004735EF"/>
    <w:rsid w:val="004B50B1"/>
    <w:rsid w:val="004B551E"/>
    <w:rsid w:val="004C0C4F"/>
    <w:rsid w:val="004C5A89"/>
    <w:rsid w:val="004D7598"/>
    <w:rsid w:val="004D7E3B"/>
    <w:rsid w:val="004E2745"/>
    <w:rsid w:val="004E72B8"/>
    <w:rsid w:val="004F2604"/>
    <w:rsid w:val="004F2922"/>
    <w:rsid w:val="004F7D71"/>
    <w:rsid w:val="00500D9B"/>
    <w:rsid w:val="005011BF"/>
    <w:rsid w:val="00502B4B"/>
    <w:rsid w:val="00505D43"/>
    <w:rsid w:val="005060D0"/>
    <w:rsid w:val="00506492"/>
    <w:rsid w:val="0051084E"/>
    <w:rsid w:val="005116BD"/>
    <w:rsid w:val="00514FE2"/>
    <w:rsid w:val="00517F58"/>
    <w:rsid w:val="00533811"/>
    <w:rsid w:val="00537DD4"/>
    <w:rsid w:val="00544488"/>
    <w:rsid w:val="0054465B"/>
    <w:rsid w:val="00550351"/>
    <w:rsid w:val="00551C31"/>
    <w:rsid w:val="005624C2"/>
    <w:rsid w:val="00576F07"/>
    <w:rsid w:val="0058521E"/>
    <w:rsid w:val="00586B29"/>
    <w:rsid w:val="00590DF5"/>
    <w:rsid w:val="005929E3"/>
    <w:rsid w:val="005B1F30"/>
    <w:rsid w:val="005B6B4D"/>
    <w:rsid w:val="005C102B"/>
    <w:rsid w:val="005C5F7C"/>
    <w:rsid w:val="005C6C92"/>
    <w:rsid w:val="005C7F02"/>
    <w:rsid w:val="005D2DAB"/>
    <w:rsid w:val="005E4FA0"/>
    <w:rsid w:val="005E58D3"/>
    <w:rsid w:val="005E6FFA"/>
    <w:rsid w:val="005F7153"/>
    <w:rsid w:val="006041B0"/>
    <w:rsid w:val="006055D3"/>
    <w:rsid w:val="00606CC7"/>
    <w:rsid w:val="00610CA4"/>
    <w:rsid w:val="00614440"/>
    <w:rsid w:val="006158F4"/>
    <w:rsid w:val="00652996"/>
    <w:rsid w:val="00664B61"/>
    <w:rsid w:val="00671691"/>
    <w:rsid w:val="0067183A"/>
    <w:rsid w:val="00673705"/>
    <w:rsid w:val="006847B0"/>
    <w:rsid w:val="00692C11"/>
    <w:rsid w:val="00694E2D"/>
    <w:rsid w:val="006A4A59"/>
    <w:rsid w:val="006A693F"/>
    <w:rsid w:val="006B2466"/>
    <w:rsid w:val="006D78FD"/>
    <w:rsid w:val="006F5219"/>
    <w:rsid w:val="00713F61"/>
    <w:rsid w:val="00715D0A"/>
    <w:rsid w:val="007350C0"/>
    <w:rsid w:val="00735A79"/>
    <w:rsid w:val="00737100"/>
    <w:rsid w:val="007413CC"/>
    <w:rsid w:val="00750B26"/>
    <w:rsid w:val="007677E7"/>
    <w:rsid w:val="00771071"/>
    <w:rsid w:val="00790522"/>
    <w:rsid w:val="0079103E"/>
    <w:rsid w:val="007A412D"/>
    <w:rsid w:val="007B731E"/>
    <w:rsid w:val="007D6CB0"/>
    <w:rsid w:val="007E1660"/>
    <w:rsid w:val="00801989"/>
    <w:rsid w:val="0081463C"/>
    <w:rsid w:val="00815A28"/>
    <w:rsid w:val="00823C6B"/>
    <w:rsid w:val="0084388A"/>
    <w:rsid w:val="008444E6"/>
    <w:rsid w:val="00854330"/>
    <w:rsid w:val="00856651"/>
    <w:rsid w:val="0087462C"/>
    <w:rsid w:val="008766CA"/>
    <w:rsid w:val="00876FF5"/>
    <w:rsid w:val="00897B89"/>
    <w:rsid w:val="008A13EC"/>
    <w:rsid w:val="008A66B5"/>
    <w:rsid w:val="008C18B4"/>
    <w:rsid w:val="008D0268"/>
    <w:rsid w:val="008D0C39"/>
    <w:rsid w:val="008E3474"/>
    <w:rsid w:val="008F18C6"/>
    <w:rsid w:val="008F4605"/>
    <w:rsid w:val="00900B7E"/>
    <w:rsid w:val="00942B0C"/>
    <w:rsid w:val="00964670"/>
    <w:rsid w:val="00973835"/>
    <w:rsid w:val="009961B9"/>
    <w:rsid w:val="009A164D"/>
    <w:rsid w:val="009B51CF"/>
    <w:rsid w:val="009C1CBC"/>
    <w:rsid w:val="009C37A7"/>
    <w:rsid w:val="009E7BE7"/>
    <w:rsid w:val="009F7DE7"/>
    <w:rsid w:val="00A03241"/>
    <w:rsid w:val="00A07469"/>
    <w:rsid w:val="00A11144"/>
    <w:rsid w:val="00A14045"/>
    <w:rsid w:val="00A1442F"/>
    <w:rsid w:val="00A15C3C"/>
    <w:rsid w:val="00A2066E"/>
    <w:rsid w:val="00A21296"/>
    <w:rsid w:val="00A51B55"/>
    <w:rsid w:val="00A527E9"/>
    <w:rsid w:val="00A553EE"/>
    <w:rsid w:val="00A6169C"/>
    <w:rsid w:val="00A633A8"/>
    <w:rsid w:val="00A716CC"/>
    <w:rsid w:val="00A76FD6"/>
    <w:rsid w:val="00A8725C"/>
    <w:rsid w:val="00A913BD"/>
    <w:rsid w:val="00A93995"/>
    <w:rsid w:val="00AA1579"/>
    <w:rsid w:val="00AA21D3"/>
    <w:rsid w:val="00AA5705"/>
    <w:rsid w:val="00AB0669"/>
    <w:rsid w:val="00AB1D29"/>
    <w:rsid w:val="00AC39D1"/>
    <w:rsid w:val="00AD3236"/>
    <w:rsid w:val="00AD7808"/>
    <w:rsid w:val="00AE04A3"/>
    <w:rsid w:val="00AF418A"/>
    <w:rsid w:val="00AF6D1E"/>
    <w:rsid w:val="00B012FC"/>
    <w:rsid w:val="00B029F5"/>
    <w:rsid w:val="00B174D0"/>
    <w:rsid w:val="00B20E04"/>
    <w:rsid w:val="00B2705F"/>
    <w:rsid w:val="00B33132"/>
    <w:rsid w:val="00B377CA"/>
    <w:rsid w:val="00B42882"/>
    <w:rsid w:val="00B456E2"/>
    <w:rsid w:val="00B67A0A"/>
    <w:rsid w:val="00B70420"/>
    <w:rsid w:val="00B71FEA"/>
    <w:rsid w:val="00B76E30"/>
    <w:rsid w:val="00B842DF"/>
    <w:rsid w:val="00BA0E02"/>
    <w:rsid w:val="00BC0E17"/>
    <w:rsid w:val="00BC1021"/>
    <w:rsid w:val="00BC56A6"/>
    <w:rsid w:val="00BE0DEA"/>
    <w:rsid w:val="00BE134C"/>
    <w:rsid w:val="00BE3943"/>
    <w:rsid w:val="00BF0164"/>
    <w:rsid w:val="00BF1838"/>
    <w:rsid w:val="00BF33DE"/>
    <w:rsid w:val="00BF5AD1"/>
    <w:rsid w:val="00BF68F4"/>
    <w:rsid w:val="00C06475"/>
    <w:rsid w:val="00C16B73"/>
    <w:rsid w:val="00C21CF2"/>
    <w:rsid w:val="00C346BC"/>
    <w:rsid w:val="00C3694D"/>
    <w:rsid w:val="00C37FD9"/>
    <w:rsid w:val="00C66A64"/>
    <w:rsid w:val="00C83A7A"/>
    <w:rsid w:val="00C87CDD"/>
    <w:rsid w:val="00C938DD"/>
    <w:rsid w:val="00CB5025"/>
    <w:rsid w:val="00CD0FA3"/>
    <w:rsid w:val="00CD23E3"/>
    <w:rsid w:val="00CD512D"/>
    <w:rsid w:val="00CE6AF9"/>
    <w:rsid w:val="00CF41DB"/>
    <w:rsid w:val="00CF77BC"/>
    <w:rsid w:val="00D06C8B"/>
    <w:rsid w:val="00D22120"/>
    <w:rsid w:val="00D33B78"/>
    <w:rsid w:val="00D368A4"/>
    <w:rsid w:val="00D576DF"/>
    <w:rsid w:val="00D74BCB"/>
    <w:rsid w:val="00D80553"/>
    <w:rsid w:val="00D80B1B"/>
    <w:rsid w:val="00D867B6"/>
    <w:rsid w:val="00DD4A2B"/>
    <w:rsid w:val="00DE5F40"/>
    <w:rsid w:val="00DE6324"/>
    <w:rsid w:val="00DF2C5A"/>
    <w:rsid w:val="00E04C98"/>
    <w:rsid w:val="00E26A7E"/>
    <w:rsid w:val="00E43265"/>
    <w:rsid w:val="00E45BC4"/>
    <w:rsid w:val="00E54CE1"/>
    <w:rsid w:val="00E62108"/>
    <w:rsid w:val="00E74423"/>
    <w:rsid w:val="00E854A5"/>
    <w:rsid w:val="00E87073"/>
    <w:rsid w:val="00E87FC4"/>
    <w:rsid w:val="00E90F22"/>
    <w:rsid w:val="00EA1CA7"/>
    <w:rsid w:val="00EA6713"/>
    <w:rsid w:val="00EC051C"/>
    <w:rsid w:val="00EC412D"/>
    <w:rsid w:val="00EC5304"/>
    <w:rsid w:val="00EC5534"/>
    <w:rsid w:val="00ED2B2D"/>
    <w:rsid w:val="00EF61C3"/>
    <w:rsid w:val="00F128BC"/>
    <w:rsid w:val="00F23FE9"/>
    <w:rsid w:val="00F252A8"/>
    <w:rsid w:val="00F26CD1"/>
    <w:rsid w:val="00F44269"/>
    <w:rsid w:val="00F44C8A"/>
    <w:rsid w:val="00F502DB"/>
    <w:rsid w:val="00F60763"/>
    <w:rsid w:val="00F671B2"/>
    <w:rsid w:val="00F74B6D"/>
    <w:rsid w:val="00F77B53"/>
    <w:rsid w:val="00F81356"/>
    <w:rsid w:val="00F86560"/>
    <w:rsid w:val="00F96492"/>
    <w:rsid w:val="00FA3ABC"/>
    <w:rsid w:val="00FC0A99"/>
    <w:rsid w:val="00FC0C98"/>
    <w:rsid w:val="00FD44F7"/>
    <w:rsid w:val="00FD5F7B"/>
    <w:rsid w:val="00FE7E39"/>
    <w:rsid w:val="00FF474B"/>
    <w:rsid w:val="00FF6EBB"/>
    <w:rsid w:val="04B134D3"/>
    <w:rsid w:val="053612C2"/>
    <w:rsid w:val="08164AD8"/>
    <w:rsid w:val="0CC44D88"/>
    <w:rsid w:val="0FFA2506"/>
    <w:rsid w:val="13F85747"/>
    <w:rsid w:val="1644576E"/>
    <w:rsid w:val="17357B66"/>
    <w:rsid w:val="1B994F32"/>
    <w:rsid w:val="1C0134FC"/>
    <w:rsid w:val="1E5D339E"/>
    <w:rsid w:val="24D201DD"/>
    <w:rsid w:val="262A71BC"/>
    <w:rsid w:val="2D650273"/>
    <w:rsid w:val="306901CF"/>
    <w:rsid w:val="350B7B37"/>
    <w:rsid w:val="373C01E0"/>
    <w:rsid w:val="37F23416"/>
    <w:rsid w:val="37F2594E"/>
    <w:rsid w:val="38D2438A"/>
    <w:rsid w:val="3974448D"/>
    <w:rsid w:val="3BC769FD"/>
    <w:rsid w:val="3CE07D1C"/>
    <w:rsid w:val="3D7F1A2D"/>
    <w:rsid w:val="3F2B2466"/>
    <w:rsid w:val="41917EF5"/>
    <w:rsid w:val="43B15EB5"/>
    <w:rsid w:val="460C4923"/>
    <w:rsid w:val="49F25576"/>
    <w:rsid w:val="50D5313F"/>
    <w:rsid w:val="54D31201"/>
    <w:rsid w:val="5A4D5442"/>
    <w:rsid w:val="5FE87560"/>
    <w:rsid w:val="646154AE"/>
    <w:rsid w:val="64EC6208"/>
    <w:rsid w:val="65E505DC"/>
    <w:rsid w:val="66977B94"/>
    <w:rsid w:val="66D661D7"/>
    <w:rsid w:val="68073A7E"/>
    <w:rsid w:val="6A186ACE"/>
    <w:rsid w:val="6AE565F6"/>
    <w:rsid w:val="6CD009AC"/>
    <w:rsid w:val="70F209F9"/>
    <w:rsid w:val="71FB0169"/>
    <w:rsid w:val="730C4A2C"/>
    <w:rsid w:val="73A548A3"/>
    <w:rsid w:val="76DF3A43"/>
    <w:rsid w:val="7B933840"/>
    <w:rsid w:val="7BC77279"/>
    <w:rsid w:val="7F78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纯文本1"/>
    <w:basedOn w:val="1"/>
    <w:qFormat/>
    <w:uiPriority w:val="0"/>
    <w:pPr>
      <w:suppressAutoHyphens/>
    </w:pPr>
    <w:rPr>
      <w:rFonts w:ascii="宋体" w:hAnsi="宋体"/>
      <w:kern w:val="1"/>
      <w:szCs w:val="20"/>
      <w:lang w:eastAsia="ar-SA"/>
    </w:rPr>
  </w:style>
  <w:style w:type="table" w:customStyle="1" w:styleId="14">
    <w:name w:val="无格式表格 21"/>
    <w:basedOn w:val="6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48D3CF-EEDB-4159-BB12-5FC29EB7D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217</Words>
  <Characters>1242</Characters>
  <Lines>10</Lines>
  <Paragraphs>2</Paragraphs>
  <TotalTime>9</TotalTime>
  <ScaleCrop>false</ScaleCrop>
  <LinksUpToDate>false</LinksUpToDate>
  <CharactersWithSpaces>1457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2018-09-21T00:41:00Z</dcterms:created>
  <dc:creator>20180709</dc:creator>
  <cp:lastModifiedBy>岚</cp:lastModifiedBy>
  <cp:lastPrinted>2021-03-10T05:49:00Z</cp:lastPrinted>
  <dcterms:modified xsi:type="dcterms:W3CDTF">2021-06-21T06:18:44Z</dcterms:modified>
  <cp:revision>477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013BF9BF5AB34051AC32BCA25DCB511C</vt:lpwstr>
  </property>
</Properties>
</file>